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632849" w:rsidRDefault="00543209" w:rsidP="004B6547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Processo n.</w:t>
      </w:r>
      <w:r w:rsidR="00632849" w:rsidRPr="00632849">
        <w:rPr>
          <w:rFonts w:ascii="Calibri" w:hAnsi="Calibri" w:cs="Calibri"/>
          <w:sz w:val="21"/>
          <w:szCs w:val="21"/>
        </w:rPr>
        <w:t xml:space="preserve"> 713731/2009.</w:t>
      </w:r>
    </w:p>
    <w:p w:rsidR="00BE1F33" w:rsidRPr="00632849" w:rsidRDefault="004B3EF0" w:rsidP="004B6547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 xml:space="preserve">Recorrente </w:t>
      </w:r>
      <w:r w:rsidR="001C305D" w:rsidRPr="00632849">
        <w:rPr>
          <w:rFonts w:ascii="Calibri" w:hAnsi="Calibri" w:cs="Calibri"/>
          <w:sz w:val="21"/>
          <w:szCs w:val="21"/>
        </w:rPr>
        <w:t>–</w:t>
      </w:r>
      <w:r w:rsidRPr="00632849">
        <w:rPr>
          <w:rFonts w:ascii="Calibri" w:hAnsi="Calibri" w:cs="Calibri"/>
          <w:sz w:val="21"/>
          <w:szCs w:val="21"/>
        </w:rPr>
        <w:t xml:space="preserve"> </w:t>
      </w:r>
      <w:r w:rsidR="00632849" w:rsidRPr="00632849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632849" w:rsidRPr="00632849">
        <w:rPr>
          <w:rFonts w:ascii="Calibri" w:hAnsi="Calibri" w:cs="Calibri"/>
          <w:sz w:val="21"/>
          <w:szCs w:val="21"/>
        </w:rPr>
        <w:t>Jaudenes</w:t>
      </w:r>
      <w:proofErr w:type="spellEnd"/>
      <w:r w:rsidR="00632849" w:rsidRPr="00632849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632849" w:rsidRPr="00632849">
        <w:rPr>
          <w:rFonts w:ascii="Calibri" w:hAnsi="Calibri" w:cs="Calibri"/>
          <w:sz w:val="21"/>
          <w:szCs w:val="21"/>
        </w:rPr>
        <w:t>Vanzella</w:t>
      </w:r>
      <w:proofErr w:type="spellEnd"/>
    </w:p>
    <w:p w:rsidR="00203D71" w:rsidRPr="00632849" w:rsidRDefault="001F1011" w:rsidP="004B6547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Auto de Infra</w:t>
      </w:r>
      <w:r w:rsidR="00A77AF8" w:rsidRPr="00632849">
        <w:rPr>
          <w:rFonts w:ascii="Calibri" w:hAnsi="Calibri" w:cs="Calibri"/>
          <w:sz w:val="21"/>
          <w:szCs w:val="21"/>
        </w:rPr>
        <w:t>ção n.</w:t>
      </w:r>
      <w:r w:rsidR="00632849" w:rsidRPr="00632849">
        <w:rPr>
          <w:rFonts w:ascii="Calibri" w:hAnsi="Calibri" w:cs="Calibri"/>
          <w:sz w:val="21"/>
          <w:szCs w:val="21"/>
        </w:rPr>
        <w:t xml:space="preserve"> 120705, de 25/09/2009.</w:t>
      </w:r>
      <w:r w:rsidR="00A77AF8" w:rsidRPr="00632849">
        <w:rPr>
          <w:rFonts w:ascii="Calibri" w:hAnsi="Calibri" w:cs="Calibri"/>
          <w:sz w:val="21"/>
          <w:szCs w:val="21"/>
        </w:rPr>
        <w:t xml:space="preserve"> </w:t>
      </w:r>
    </w:p>
    <w:p w:rsidR="001C5AC6" w:rsidRPr="00632849" w:rsidRDefault="007723ED" w:rsidP="004B6547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Relator</w:t>
      </w:r>
      <w:r w:rsidR="00632849" w:rsidRPr="00632849">
        <w:rPr>
          <w:rFonts w:ascii="Calibri" w:hAnsi="Calibri" w:cs="Calibri"/>
          <w:sz w:val="21"/>
          <w:szCs w:val="21"/>
        </w:rPr>
        <w:t xml:space="preserve"> – Lucas Eduardo Araújo Silva – FEC.</w:t>
      </w:r>
      <w:r w:rsidR="00A77AF8" w:rsidRPr="00632849">
        <w:rPr>
          <w:rFonts w:ascii="Calibri" w:hAnsi="Calibri" w:cs="Calibri"/>
          <w:sz w:val="21"/>
          <w:szCs w:val="21"/>
        </w:rPr>
        <w:t xml:space="preserve"> </w:t>
      </w:r>
    </w:p>
    <w:p w:rsidR="00593652" w:rsidRPr="00632849" w:rsidRDefault="00632849" w:rsidP="004B6547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Advogados –</w:t>
      </w:r>
      <w:r w:rsidR="00532A18" w:rsidRPr="00632849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632849">
        <w:rPr>
          <w:rFonts w:ascii="Calibri" w:hAnsi="Calibri" w:cs="Calibri"/>
          <w:sz w:val="21"/>
          <w:szCs w:val="21"/>
        </w:rPr>
        <w:t>Ayslan</w:t>
      </w:r>
      <w:proofErr w:type="spellEnd"/>
      <w:r w:rsidRPr="00632849">
        <w:rPr>
          <w:rFonts w:ascii="Calibri" w:hAnsi="Calibri" w:cs="Calibri"/>
          <w:sz w:val="21"/>
          <w:szCs w:val="21"/>
        </w:rPr>
        <w:t xml:space="preserve"> Clayton Moraes – OAB/MT 8.377, </w:t>
      </w:r>
      <w:r w:rsidR="007362B7">
        <w:rPr>
          <w:rFonts w:ascii="Calibri" w:hAnsi="Calibri" w:cs="Calibri"/>
          <w:sz w:val="21"/>
          <w:szCs w:val="21"/>
        </w:rPr>
        <w:t>e</w:t>
      </w:r>
      <w:bookmarkStart w:id="0" w:name="_GoBack"/>
      <w:bookmarkEnd w:id="0"/>
    </w:p>
    <w:p w:rsidR="00632849" w:rsidRPr="00632849" w:rsidRDefault="00632849" w:rsidP="004B6547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 xml:space="preserve">                        Fernando Henrique César Leitão – OAB/MT 13.592.</w:t>
      </w:r>
    </w:p>
    <w:p w:rsidR="00641363" w:rsidRPr="00632849" w:rsidRDefault="00E82C1C" w:rsidP="005567E5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1</w:t>
      </w:r>
      <w:r w:rsidR="00427633" w:rsidRPr="00632849">
        <w:rPr>
          <w:rFonts w:ascii="Calibri" w:hAnsi="Calibri" w:cs="Calibri"/>
          <w:sz w:val="21"/>
          <w:szCs w:val="21"/>
        </w:rPr>
        <w:t>ª Junta de Julgamento de Recursos</w:t>
      </w:r>
      <w:r w:rsidR="00273DF1" w:rsidRPr="00632849">
        <w:rPr>
          <w:rFonts w:ascii="Calibri" w:hAnsi="Calibri" w:cs="Calibri"/>
          <w:sz w:val="21"/>
          <w:szCs w:val="21"/>
        </w:rPr>
        <w:t>.</w:t>
      </w:r>
    </w:p>
    <w:p w:rsidR="007723ED" w:rsidRPr="00632849" w:rsidRDefault="007723ED" w:rsidP="00632849">
      <w:pPr>
        <w:rPr>
          <w:rFonts w:ascii="Calibri" w:hAnsi="Calibri" w:cs="Calibri"/>
          <w:b/>
          <w:color w:val="000000"/>
          <w:sz w:val="21"/>
          <w:szCs w:val="21"/>
        </w:rPr>
      </w:pPr>
    </w:p>
    <w:p w:rsidR="00593652" w:rsidRPr="00632849" w:rsidRDefault="00D440FC" w:rsidP="005567E5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632849">
        <w:rPr>
          <w:rFonts w:ascii="Calibri" w:hAnsi="Calibri" w:cs="Calibri"/>
          <w:b/>
          <w:color w:val="000000"/>
          <w:sz w:val="21"/>
          <w:szCs w:val="21"/>
        </w:rPr>
        <w:t xml:space="preserve">Acórdão – </w:t>
      </w:r>
      <w:r w:rsidR="00A77AF8" w:rsidRPr="00632849">
        <w:rPr>
          <w:rFonts w:ascii="Calibri" w:hAnsi="Calibri" w:cs="Calibri"/>
          <w:b/>
          <w:color w:val="000000"/>
          <w:sz w:val="21"/>
          <w:szCs w:val="21"/>
        </w:rPr>
        <w:t>232</w:t>
      </w:r>
      <w:r w:rsidR="00543209" w:rsidRPr="00632849">
        <w:rPr>
          <w:rFonts w:ascii="Calibri" w:hAnsi="Calibri" w:cs="Calibri"/>
          <w:b/>
          <w:color w:val="000000"/>
          <w:sz w:val="21"/>
          <w:szCs w:val="21"/>
        </w:rPr>
        <w:t>/21</w:t>
      </w:r>
    </w:p>
    <w:p w:rsidR="00632849" w:rsidRPr="00632849" w:rsidRDefault="00632849" w:rsidP="005567E5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</w:p>
    <w:p w:rsidR="00632849" w:rsidRPr="00632849" w:rsidRDefault="00632849" w:rsidP="00632849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632849">
        <w:rPr>
          <w:rFonts w:ascii="Calibri" w:hAnsi="Calibri" w:cs="Calibri"/>
          <w:color w:val="000000"/>
          <w:sz w:val="21"/>
          <w:szCs w:val="21"/>
        </w:rPr>
        <w:t>Auto de Infração n° 120705, de 25/09/2009. Por fazer uso do fogo numa área de 8989522 ha dentro da área de reserva legal – ARL sem autorização do órgão ambiental conforme despacho da folha 250 do processo de LAU nº102396/2005. Decisão Administrativa n° 156/SPA/SEMA/2018 de 25/02/2018, pela homologação do</w:t>
      </w:r>
      <w:r w:rsidRPr="00632849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Pr="00632849">
        <w:rPr>
          <w:rFonts w:ascii="Calibri" w:hAnsi="Calibri" w:cs="Calibri"/>
          <w:color w:val="000000"/>
          <w:sz w:val="21"/>
          <w:szCs w:val="21"/>
        </w:rPr>
        <w:t>Auto de Infração n° 120705, de 25/09/2009, arbitrando a multa no valor de R$ 6.742.141,50 (seis milhões setecentos e quarenta e dois mil cento e quarenta e um reais e cinquenta centavos), com fulcro nos artigos 51 c/c 60, inciso I, do Decreto Federal n° 6.514/08. Requer o recorrente que seja o reconhecido prescrição ao presente caso, haja vista a lavratura do auto de infração se deu em 25/09/2009, enquanto o julgamento em primeira instância, por meio de decisão administrativa, foi realizado apenas em 25/02/2018, extinguindo-se e arquivando-se o presente feito com as medidas de cautela necessárias; sucessivamente, se tratando de matéria de ordem pública, advinda de vício sanável/nulidade absoluta, requer o recorrente desde já o reconhecimento da ocorrência de prescrição intercorrente ai presente caso, devido à sua paralisação por mais de 03 (três) anos completos, que perdurou entre 17/08/2012 até 21/09/2015, portanto, 03 (três) anos, 01 (um) e 04 (quatro) dias, não havendo nesse interim nenhum despacho ou decisão para cessar contagem da prescrição intercorrente, extinguindo-se e arquivando-se o presente feito com as medidas de cautela necessárias; O reconhecimento e decretação da nulidade absoluta do presente auto de infração e todo o feito, pela ofensa à legalidade, motivação e fundamentação, em virtude da inexistência de relatório técnico ou auto de inspeção, carreado junto Auto de Infração n° 120.705/2009, requerendo-se o reconhecimento em sede incidental e interlocutória da nulidade absoluta do feito 713731/2009, em especial pela previsão do artigo 5°, §4° da instrução normativa SEMA-MT n° 03/2006; Considerando que em 2007, quando ocorreu o passivo na Área de Reserva Legal, o decreto 6.514/2008 não estava em vigor, caso, ainda, seja possível incorrer o recorrente em infração, requer-se a correta capitulação do auto de infração retificando-se o enquadramento legal do equivocado art. 51 do Decreto Federal n° 6.514/2008 para o art. 28 de Decreto Federal 3.179/1999, adequando –se também, a multa aplicada para R$ 1. 500 (mil e quinhentos reais) por hectares.</w:t>
      </w:r>
      <w:r>
        <w:rPr>
          <w:rFonts w:ascii="Calibri" w:hAnsi="Calibri" w:cs="Calibri"/>
          <w:color w:val="000000"/>
          <w:sz w:val="21"/>
          <w:szCs w:val="21"/>
        </w:rPr>
        <w:t xml:space="preserve"> Recurso provido.</w:t>
      </w:r>
    </w:p>
    <w:p w:rsidR="00427B3A" w:rsidRPr="00632849" w:rsidRDefault="00427B3A" w:rsidP="006B2073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32849" w:rsidRPr="00632849" w:rsidRDefault="0064387A" w:rsidP="006B2073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632849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E82C1C" w:rsidRPr="00632849">
        <w:rPr>
          <w:rFonts w:ascii="Calibri" w:hAnsi="Calibri" w:cs="Calibri"/>
          <w:color w:val="000000"/>
          <w:sz w:val="21"/>
          <w:szCs w:val="21"/>
        </w:rPr>
        <w:t xml:space="preserve"> membros da 1</w:t>
      </w:r>
      <w:r w:rsidRPr="00632849">
        <w:rPr>
          <w:rFonts w:ascii="Calibri" w:hAnsi="Calibri" w:cs="Calibri"/>
          <w:color w:val="000000"/>
          <w:sz w:val="21"/>
          <w:szCs w:val="21"/>
        </w:rPr>
        <w:t>ª Junta de Julgamento de Recursos</w:t>
      </w:r>
      <w:r w:rsidR="00632849" w:rsidRPr="00632849">
        <w:rPr>
          <w:rFonts w:ascii="Calibri" w:hAnsi="Calibri" w:cs="Calibri"/>
          <w:color w:val="000000"/>
          <w:sz w:val="21"/>
          <w:szCs w:val="21"/>
        </w:rPr>
        <w:t>, por maioria, dar provimento do recurso interposto pelo o recorrente, acolhendo o voto divergente, do representante do AMM, no sentido de reconhecer a prescrição pretensão punitiva, conforme o Diário Oficial, de 10/09/2010 (fls.08-09) até a Decisão Administrativa n°156/SPA/SEMA/2018, de 25/02/2018, (fls. 49-50), ficando o processo paralisado sem decisão administrativa por mais de 5 (cinco) anos, cancelando o Auto de Infração n° 120705, de 25/09/2009, e, consequentemente o arquivamento do processo.</w:t>
      </w:r>
    </w:p>
    <w:p w:rsidR="003448D5" w:rsidRPr="00632849" w:rsidRDefault="00641363" w:rsidP="006B2073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 xml:space="preserve">Presentes </w:t>
      </w:r>
      <w:r w:rsidR="00D8436B" w:rsidRPr="00632849">
        <w:rPr>
          <w:rFonts w:ascii="Calibri" w:hAnsi="Calibri" w:cs="Calibri"/>
          <w:sz w:val="21"/>
          <w:szCs w:val="21"/>
        </w:rPr>
        <w:t>à votação os seguintes membros:</w:t>
      </w:r>
    </w:p>
    <w:p w:rsidR="00B80E62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>Letícia Cristina Xavier de Figueiredo</w:t>
      </w:r>
    </w:p>
    <w:p w:rsidR="00CB770A" w:rsidRPr="00632849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</w:t>
      </w:r>
      <w:r w:rsidR="00E82C1C" w:rsidRPr="00632849">
        <w:rPr>
          <w:rFonts w:ascii="Calibri" w:hAnsi="Calibri" w:cs="Calibri"/>
          <w:sz w:val="21"/>
          <w:szCs w:val="21"/>
        </w:rPr>
        <w:t>esentante da SEAF</w:t>
      </w:r>
    </w:p>
    <w:p w:rsidR="00E82C1C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Ilvânio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Martins </w:t>
      </w:r>
    </w:p>
    <w:p w:rsidR="00CB770A" w:rsidRPr="00632849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</w:t>
      </w:r>
      <w:r w:rsidR="00E82C1C" w:rsidRPr="00632849">
        <w:rPr>
          <w:rFonts w:ascii="Calibri" w:hAnsi="Calibri" w:cs="Calibri"/>
          <w:sz w:val="21"/>
          <w:szCs w:val="21"/>
        </w:rPr>
        <w:t xml:space="preserve"> ECOTRÓPICA</w:t>
      </w:r>
    </w:p>
    <w:p w:rsidR="00B97D68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B97D6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SEMA</w:t>
      </w:r>
    </w:p>
    <w:p w:rsidR="00A06DC9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632849">
        <w:rPr>
          <w:rFonts w:ascii="Calibri" w:hAnsi="Calibri" w:cs="Calibri"/>
          <w:b/>
          <w:sz w:val="21"/>
          <w:szCs w:val="21"/>
        </w:rPr>
        <w:t>Grisosti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C0665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AMM</w:t>
      </w:r>
    </w:p>
    <w:p w:rsidR="00037548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Edilberto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Gonçalves de Souza</w:t>
      </w:r>
    </w:p>
    <w:p w:rsidR="0003754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FETIEMT</w:t>
      </w:r>
    </w:p>
    <w:p w:rsidR="00E70D2F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Anderson </w:t>
      </w:r>
      <w:proofErr w:type="spellStart"/>
      <w:r w:rsidRPr="00632849">
        <w:rPr>
          <w:rFonts w:ascii="Calibri" w:hAnsi="Calibri" w:cs="Calibri"/>
          <w:b/>
          <w:sz w:val="21"/>
          <w:szCs w:val="21"/>
        </w:rPr>
        <w:t>Martinis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Lombardi</w:t>
      </w:r>
    </w:p>
    <w:p w:rsidR="00B97D6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SEDEC</w:t>
      </w:r>
    </w:p>
    <w:p w:rsidR="00B97D68" w:rsidRPr="00632849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Cuiabá,</w:t>
      </w:r>
      <w:r w:rsidR="005614B8" w:rsidRPr="00632849">
        <w:rPr>
          <w:rFonts w:ascii="Calibri" w:hAnsi="Calibri" w:cs="Calibri"/>
          <w:sz w:val="21"/>
          <w:szCs w:val="21"/>
        </w:rPr>
        <w:t xml:space="preserve"> </w:t>
      </w:r>
      <w:r w:rsidR="00E82C1C" w:rsidRPr="00632849">
        <w:rPr>
          <w:rFonts w:ascii="Calibri" w:hAnsi="Calibri" w:cs="Calibri"/>
          <w:sz w:val="21"/>
          <w:szCs w:val="21"/>
        </w:rPr>
        <w:t>13 de setembro</w:t>
      </w:r>
      <w:r w:rsidR="00C25848" w:rsidRPr="00632849">
        <w:rPr>
          <w:rFonts w:ascii="Calibri" w:hAnsi="Calibri" w:cs="Calibri"/>
          <w:sz w:val="21"/>
          <w:szCs w:val="21"/>
        </w:rPr>
        <w:t xml:space="preserve"> de 2021</w:t>
      </w:r>
      <w:r w:rsidR="00AE0F4F" w:rsidRPr="00632849">
        <w:rPr>
          <w:rFonts w:ascii="Calibri" w:hAnsi="Calibri" w:cs="Calibri"/>
          <w:sz w:val="21"/>
          <w:szCs w:val="21"/>
        </w:rPr>
        <w:t>.</w:t>
      </w:r>
    </w:p>
    <w:p w:rsidR="00B97D68" w:rsidRPr="00632849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</w:t>
      </w:r>
    </w:p>
    <w:p w:rsidR="00B97D68" w:rsidRPr="00632849" w:rsidRDefault="00E82C1C" w:rsidP="00F208E6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C06658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      </w:t>
      </w:r>
      <w:r w:rsidR="005614B8" w:rsidRPr="00632849">
        <w:rPr>
          <w:rFonts w:ascii="Calibri" w:hAnsi="Calibri" w:cs="Calibri"/>
          <w:b/>
          <w:sz w:val="21"/>
          <w:szCs w:val="21"/>
        </w:rPr>
        <w:t xml:space="preserve">Presidente da </w:t>
      </w:r>
      <w:r w:rsidRPr="00632849">
        <w:rPr>
          <w:rFonts w:ascii="Calibri" w:hAnsi="Calibri" w:cs="Calibri"/>
          <w:b/>
          <w:sz w:val="21"/>
          <w:szCs w:val="21"/>
        </w:rPr>
        <w:t>1</w:t>
      </w:r>
      <w:r w:rsidR="00CB770A" w:rsidRPr="00632849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63284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2B7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561F"/>
    <w:rsid w:val="00EB60DC"/>
    <w:rsid w:val="00EB7BBC"/>
    <w:rsid w:val="00EC2EFA"/>
    <w:rsid w:val="00EC3BC2"/>
    <w:rsid w:val="00EC6474"/>
    <w:rsid w:val="00ED082F"/>
    <w:rsid w:val="00ED2838"/>
    <w:rsid w:val="00ED3B82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192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0A7C-E377-4E97-9F4E-ED867867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2021-09-24T02:07:00Z</dcterms:created>
  <dcterms:modified xsi:type="dcterms:W3CDTF">2021-09-24T18:58:00Z</dcterms:modified>
</cp:coreProperties>
</file>